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47290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两用物项及技术出口管制清单</w:t>
      </w:r>
    </w:p>
    <w:p w14:paraId="42EBC14C">
      <w:pPr>
        <w:rPr>
          <w:rFonts w:hint="eastAsia" w:ascii="宋体" w:hAnsi="宋体" w:eastAsia="宋体" w:cs="宋体"/>
          <w:sz w:val="21"/>
          <w:szCs w:val="21"/>
        </w:rPr>
      </w:pPr>
    </w:p>
    <w:p w14:paraId="69636948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1、管控定义（国际件专属）</w:t>
      </w:r>
    </w:p>
    <w:p w14:paraId="73E05E8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两用物项：指军民两用、民用工业可用、同时具备军事、科研、战略管控属性的设备、零件、材料、软件、技术。</w:t>
      </w:r>
    </w:p>
    <w:p w14:paraId="141BFECC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所有两用物项出境，必须提供商务部签发《两用物项和技术出口许可证》，无有效证件一律拒收、禁止国际寄递。</w:t>
      </w:r>
    </w:p>
    <w:p w14:paraId="110AA4B1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公示收寄规则：经查验判定属于两用物项或无法辨别货品是否为两用物项的，皆一律拒收，并同步做好台账登记并上报主管部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门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</w:p>
    <w:p w14:paraId="605CCB57">
      <w:pPr>
        <w:rPr>
          <w:rFonts w:hint="eastAsia" w:ascii="宋体" w:hAnsi="宋体" w:eastAsia="宋体" w:cs="宋体"/>
          <w:sz w:val="21"/>
          <w:szCs w:val="21"/>
        </w:rPr>
      </w:pPr>
    </w:p>
    <w:p w14:paraId="62F1B12B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2、网点日常高频核查两用物项明细</w:t>
      </w:r>
    </w:p>
    <w:p w14:paraId="7C9419F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1）精密仪器、传感、导航类</w:t>
      </w:r>
    </w:p>
    <w:p w14:paraId="2C07D39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陀螺仪、加速度计、倾角传感器、高精度惯性测量单元、导航模块、质谱仪、色谱仪、特种光学仪器、夜视设备、热成像设备、激光设备。</w:t>
      </w:r>
    </w:p>
    <w:p w14:paraId="2D6F9C5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2）高端电子、射频、通信、加密设备</w:t>
      </w:r>
    </w:p>
    <w:p w14:paraId="6D81C53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特种集成电路、军工级芯片、加密通信模块、射频功放、雷达组件、无线发射设备、干扰设备、特种天线、数据加密存储设备。</w:t>
      </w:r>
    </w:p>
    <w:p w14:paraId="4BC17A4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3）无人机及核心受控配件</w:t>
      </w:r>
    </w:p>
    <w:p w14:paraId="5B2485F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工业无人机、植保无人机、飞控主板、图传模块、云台增稳系统、动力控制系统、高端电池管控组件。</w:t>
      </w:r>
    </w:p>
    <w:p w14:paraId="2B79F1A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4）特种材料、金属、碳纤维、稀土制品</w:t>
      </w:r>
    </w:p>
    <w:p w14:paraId="003947ED">
      <w:pPr>
        <w:rPr>
          <w:rFonts w:hint="eastAsia" w:ascii="宋体" w:hAnsi="宋体" w:eastAsia="宋体" w:cs="宋体"/>
          <w:sz w:val="21"/>
          <w:szCs w:val="21"/>
        </w:rPr>
      </w:pPr>
    </w:p>
    <w:p w14:paraId="30890CE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军工级碳纤维复合材料、特种合金、高纯石墨、稀土深加工材料、高强高模纤维、抗辐射材料。</w:t>
      </w:r>
    </w:p>
    <w:p w14:paraId="54F03C9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5）化工、生化、可制毒前体</w:t>
      </w:r>
    </w:p>
    <w:p w14:paraId="0B9C11A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管制高纯化学试剂、催化剂、特种溶剂、可制毒、可制爆前驱体、受控生物培养基、特种菌株。</w:t>
      </w:r>
    </w:p>
    <w:p w14:paraId="077BD4C4">
      <w:pPr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6）数控、精密加工设备</w:t>
      </w:r>
    </w:p>
    <w:p w14:paraId="3223488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特种数控机床、高精度加工设备、</w:t>
      </w:r>
      <w:r>
        <w:rPr>
          <w:rFonts w:hint="eastAsia" w:ascii="宋体" w:hAnsi="宋体" w:eastAsia="宋体" w:cs="宋体"/>
          <w:sz w:val="21"/>
          <w:szCs w:val="21"/>
        </w:rPr>
        <w:t>3D打印高端设备、精密检测设备。</w:t>
      </w:r>
    </w:p>
    <w:p w14:paraId="616D3E7B"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35865D">
      <w:pPr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>3、两用物项收寄硬性制度条款</w:t>
      </w:r>
    </w:p>
    <w:p w14:paraId="76200D0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客户交寄疑似两用物项，必须先核验出口许可证，证件编号、有效期、收货地、品名必须完全匹配；</w:t>
      </w:r>
    </w:p>
    <w:p w14:paraId="796B47C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无证、证件过期、品名不符、目的地为制裁国家/地区 → 直接拒收；</w:t>
      </w:r>
    </w:p>
    <w:p w14:paraId="7EC6B31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许可证复印件随报关资料归档，留存备查；</w:t>
      </w:r>
    </w:p>
    <w:p w14:paraId="021E225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 无法判定是否属于两用物项的，一律按管控品类处理，先行拒收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ABC038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4、动态更新规则</w:t>
      </w:r>
    </w:p>
    <w:p w14:paraId="73367271">
      <w:pPr>
        <w:rPr>
          <w:rFonts w:hint="eastAsia" w:ascii="宋体" w:hAnsi="宋体" w:eastAsia="宋体" w:cs="宋体"/>
          <w:sz w:val="21"/>
          <w:szCs w:val="21"/>
        </w:rPr>
      </w:pPr>
    </w:p>
    <w:p w14:paraId="34C9E45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本两用物项清单依据《中华人民共和国两用物项和技术进出口管理条例》及商务部年度目录动态更新，目录更新当日即替换本制度附件内容。</w:t>
      </w:r>
    </w:p>
    <w:p w14:paraId="6418F65F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B9"/>
    <w:rsid w:val="000C5EF6"/>
    <w:rsid w:val="004F4912"/>
    <w:rsid w:val="00B008B9"/>
    <w:rsid w:val="00B13370"/>
    <w:rsid w:val="00D807C0"/>
    <w:rsid w:val="00FE1F5D"/>
    <w:rsid w:val="84E5A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693</Characters>
  <Lines>5</Lines>
  <Paragraphs>1</Paragraphs>
  <TotalTime>5</TotalTime>
  <ScaleCrop>false</ScaleCrop>
  <LinksUpToDate>false</LinksUpToDate>
  <CharactersWithSpaces>813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2026-06-08T07:44:00Z</dcterms:created>
  <dc:creator>Yang</dc:creator>
  <cp:lastModifiedBy>Arthur</cp:lastModifiedBy>
  <dcterms:modified xsi:type="dcterms:W3CDTF">2026-06-12T22:44:40Z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B35D640B164F2E16581B2C6A54CD2100_42</vt:lpwstr>
  </property>
</Properties>
</file>